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8693" w:leader="none"/>
        </w:tabs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Calibri" w:hAnsi="Calibri" w:eastAsia="Calibri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19200" cy="1219200"/>
                <wp:effectExtent l="0" t="0" r="0" b="0"/>
                <wp:docPr id="1" name="Рисунок 1" descr="C:\Users\Администратор\AppData\Local\Microsoft\Windows\Temporary Internet Files\Content.Word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тор\AppData\Local\Microsoft\Windows\Temporary Internet Files\Content.Word\гер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6.00pt;height:9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t xml:space="preserve">Министерство транспорта Российской Федерации</w:t>
      </w: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t xml:space="preserve">Федеральная служба по надзору в сфере транспорта</w:t>
      </w: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Book Antiqua" w:hAnsi="Book Antiqua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Межрегиональное территориальное управление Федеральной службы по надзору в сфере транспорта по Сибирскому федеральному округу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ДОКЛАД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правоприменительной практике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Енисейский территориальный отдел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госморречнадзора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МТУ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Ространснадзора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по СФО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 1 квартал 2026 года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Лесосибирск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pBdr>
          <w:top w:val="single" w:color="000000" w:sz="4" w:space="16"/>
          <w:left w:val="single" w:color="000000" w:sz="4" w:space="4"/>
          <w:bottom w:val="single" w:color="000000" w:sz="4" w:space="3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17.04.2026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о результатах обобщения правоприменительной практики при осуществлении федерального государственного контроля (надзора) в области торгового мореплавания и внутреннего водного транспорта подготовлен в соответствии с требованиями статьи 47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от 31.07.2020 №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контроль (надзор) в области торгового мореплавания и внутреннего водного транспорта (далее - Федеральный кон</w:t>
      </w:r>
      <w:r>
        <w:rPr>
          <w:rFonts w:ascii="Times New Roman" w:hAnsi="Times New Roman" w:cs="Times New Roman"/>
          <w:sz w:val="24"/>
          <w:szCs w:val="24"/>
        </w:rPr>
        <w:t xml:space="preserve">троль) осуществляется Енисейским территориальным отделом Г</w:t>
      </w:r>
      <w:r>
        <w:rPr>
          <w:rFonts w:ascii="Times New Roman" w:hAnsi="Times New Roman" w:cs="Times New Roman"/>
          <w:sz w:val="24"/>
          <w:szCs w:val="24"/>
        </w:rPr>
        <w:t xml:space="preserve">осморречнадзора</w:t>
      </w:r>
      <w:r>
        <w:rPr>
          <w:rFonts w:ascii="Times New Roman" w:hAnsi="Times New Roman" w:cs="Times New Roman"/>
          <w:sz w:val="24"/>
          <w:szCs w:val="24"/>
        </w:rPr>
        <w:t xml:space="preserve"> МТУ </w:t>
      </w:r>
      <w:r>
        <w:rPr>
          <w:rFonts w:ascii="Times New Roman" w:hAnsi="Times New Roman" w:cs="Times New Roman"/>
          <w:sz w:val="24"/>
          <w:szCs w:val="24"/>
        </w:rPr>
        <w:t xml:space="preserve">Ространснадзора</w:t>
      </w:r>
      <w:r>
        <w:rPr>
          <w:rFonts w:ascii="Times New Roman" w:hAnsi="Times New Roman" w:cs="Times New Roman"/>
          <w:sz w:val="24"/>
          <w:szCs w:val="24"/>
        </w:rPr>
        <w:t xml:space="preserve"> по СФО (далее – Енисейский ТО ГМРН) в соответствии с Положением о федеральном государственном контроле (надзоре) в области торгового мореплавания и внутреннего во</w:t>
      </w:r>
      <w:r>
        <w:rPr>
          <w:rFonts w:ascii="Times New Roman" w:hAnsi="Times New Roman" w:cs="Times New Roman"/>
          <w:sz w:val="24"/>
          <w:szCs w:val="24"/>
        </w:rPr>
        <w:t xml:space="preserve">дного транспорта, утвержденным постановлением Правительства Российской Федерации от 29.06.2021 № 1047 (далее – Положение о государственном контроле); Положением о Межрегиональном территориальном управлении Федеральной службы по надзору в сфере транспорта п</w:t>
      </w:r>
      <w:r>
        <w:rPr>
          <w:rFonts w:ascii="Times New Roman" w:hAnsi="Times New Roman" w:cs="Times New Roman"/>
          <w:sz w:val="24"/>
          <w:szCs w:val="24"/>
        </w:rPr>
        <w:t xml:space="preserve">о Сибирскому федеральному округу, утверждённым Приказом </w:t>
      </w:r>
      <w:r>
        <w:rPr>
          <w:rFonts w:ascii="Times New Roman" w:hAnsi="Times New Roman" w:cs="Times New Roman"/>
          <w:sz w:val="24"/>
          <w:szCs w:val="24"/>
        </w:rPr>
        <w:t xml:space="preserve">Ространснадзора</w:t>
      </w:r>
      <w:r>
        <w:rPr>
          <w:rFonts w:ascii="Times New Roman" w:hAnsi="Times New Roman" w:cs="Times New Roman"/>
          <w:sz w:val="24"/>
          <w:szCs w:val="24"/>
        </w:rPr>
        <w:t xml:space="preserve"> от 07.11.2022 года № ВБ-505-фс; Положением о Енисейском территориальном отделе Г</w:t>
      </w:r>
      <w:r>
        <w:rPr>
          <w:rFonts w:ascii="Times New Roman" w:hAnsi="Times New Roman" w:cs="Times New Roman"/>
          <w:sz w:val="24"/>
          <w:szCs w:val="24"/>
        </w:rPr>
        <w:t xml:space="preserve">осморречнадзора</w:t>
      </w:r>
      <w:r>
        <w:rPr>
          <w:rFonts w:ascii="Times New Roman" w:hAnsi="Times New Roman" w:cs="Times New Roman"/>
          <w:sz w:val="24"/>
          <w:szCs w:val="24"/>
        </w:rPr>
        <w:t xml:space="preserve"> Межрегионального территориального управления Федеральной службы по надзору в сфере транс</w:t>
      </w:r>
      <w:r>
        <w:rPr>
          <w:rFonts w:ascii="Times New Roman" w:hAnsi="Times New Roman" w:cs="Times New Roman"/>
          <w:sz w:val="24"/>
          <w:szCs w:val="24"/>
        </w:rPr>
        <w:t xml:space="preserve">порта по Сибирскому федеральному округу, утверждённым Приказом МТУ </w:t>
      </w:r>
      <w:r>
        <w:rPr>
          <w:rFonts w:ascii="Times New Roman" w:hAnsi="Times New Roman" w:cs="Times New Roman"/>
          <w:sz w:val="24"/>
          <w:szCs w:val="24"/>
        </w:rPr>
        <w:t xml:space="preserve">Ространснадзора</w:t>
      </w:r>
      <w:r>
        <w:rPr>
          <w:rFonts w:ascii="Times New Roman" w:hAnsi="Times New Roman" w:cs="Times New Roman"/>
          <w:sz w:val="24"/>
          <w:szCs w:val="24"/>
        </w:rPr>
        <w:t xml:space="preserve"> по СФО от 03.08.2023 года №283-ПР.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Енисейский ТО ГМРН осуществляет свою деятельность в следующих границах зоны ответственности: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внутренние морские воды и территориальное м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оре РФ в Арктике, включая акватории портов, морских грузовых терминалов, расположенных между меридианами восточной оконечности острова Олений (на западе) и западной оконечности острова Большой Бегичев (на востоке);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внутренние водные пути Енисейского басс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ейна: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река Енисей от города Дудинка до устья реки Ангара;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река Енисей от 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Новокаргино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до устья реки Ангара по лоцманской карте от Красноярской ГЭС до устья реки Ангара;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притоки реки Енисей: река Большой Пит, река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Кас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Подкаменная Ту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нгуска, река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Вельмо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Елогуй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Нижняя Тунгуска, река Турухан, река Курейка, река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Хантайка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Большая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Хета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река Хатанга;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река Ангара от 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Едорма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до устья;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приток реки Ангара: река Тасеева.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Контрольно-надзорная деятельность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По состоянию на 01.04.2026 в области торгового мореплавания и внутреннего водного транспорта в Енисейском территориальном отделе подлежит контролю деятельность 58 организаций и индивидуальных предпринимателей.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Федеральный контроль осуществляется с примене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нием риск-ориентированного подхода. По состоянию на 01.04.2026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Госморречнадзору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подконтрольны 83 объекта контроля, из них 2 – значительной категории риска.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right="-1"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Контрольная (надзорная) деятельность Енисейского территориального отдела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3 месяц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2026 года характеризуется следующими показателями.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Большую часть контрольных (надзорных) мероприятий в 2026 году составили мероприятия без взаимодействия с контролируемым лицом – наблюдения за соблюдением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обязательных требований и выездные обследования.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3 месяца 2026 года было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проведено 110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наблюдений за соблюдением обязательных требований.  Результативность указанных мероприятий увеличилась - в результате их проведения выявлено 85 нарушений.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целях выявления, предупреждения и пресечения нарушений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обязательных требований инспекторами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отношении 25 объектов контроля проведено 12 постоянных рейдов, в результате которых выявлено нарушение лицензионных требований деятельности по перевозки пассажиров. Выявленные нарушения были переданы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Красноярскую транспортную прокуратуру для принятия мер прокурорского реагирования.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состоянию на 01.04.2026 по результатам проведенных мероприятий привлечено к административной ответственности 3 физических лица. Общая сумма наложенных штрафов (за вычет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 обжалованных) составила 15 тыс. руб.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Чаще всего выявлялись административные правонарушения, квалифицируемые по статьям 11.7 ч.1 КоАП РФ (нарушение правил плавания судов); 11.8 ч. 2 КоАП РФ (нарушение правил эксплуатации судов, а также управление судном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лицом, не имеющим права управления).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отчетный период на морском и внутреннем водном транспорте, Енисейским отделам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осморречнадзора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Ространснадзора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СФО не зарегистрированы аварийные случаи на море и транспортные происшествия на ВВП.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8"/>
        <w:jc w:val="center"/>
        <w:spacing w:after="0" w:line="240" w:lineRule="auto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ind w:right="-1" w:firstLine="708"/>
        <w:jc w:val="center"/>
        <w:spacing w:after="0" w:line="240" w:lineRule="auto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  <w:t xml:space="preserve">Описание </w:t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  <w:t xml:space="preserve">текущего развития профилактической деятельности </w:t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ind w:right="-1" w:firstLine="708"/>
        <w:jc w:val="center"/>
        <w:spacing w:after="0" w:line="240" w:lineRule="auto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Виды профилактических мероприятий при осуществлении федерального контроля определены Положением о федеральном государственном контроле (надзоре) в области торгового мореплавания и внутреннего водного трансп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орта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и проводятся в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соответствии с планом, утвержденным приказом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Ространснадзора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Cs/>
          <w:sz w:val="24"/>
          <w:szCs w:val="24"/>
          <w:lang w:eastAsia="ru-RU"/>
        </w:rPr>
        <w:t xml:space="preserve">от 15.12.2025 № ВГ- 446фс «Об утверждении программ профилактики рисков причинения вреда охраняемым законом ценностям на 2026 год».</w:t>
      </w:r>
      <w:r>
        <w:rPr>
          <w:rFonts w:ascii="Times New Roman" w:hAnsi="Times New Roman" w:eastAsia="SimSu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При осуществлении федерал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ьного контроля за соблюдением обязательных требований в области торгового мореплавания и внутреннего водного транспорта проводятся информирование, обобщение правоприменительной практики, объявление предостережения, консультирование, профилактический визит.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рамках информирования   на сайте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Ространснадзора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размещены и поддерживаются в актуальном состоянии сведения, предусмотренные Федеральным законом № 248-ФЗ.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Также с целью информирования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Госморречнадзором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на официальном сайте размещаются сведения о состоянии аварийности на водном транспорте и ежегодные сборники характерных аварийных случаев на море и внутренних водных путях.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2026 году профилактическая деятель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ность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направлена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 создание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условий для доведения до контролируемых лиц обязательных требований, повышение информированности о способах их соблюдения, предупреждение нарушений контролируемыми лицами обязательных требований, стимулировани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 добросовестного соблюдения обязательных требований всеми контролируемыми лицами.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При наличии у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сведений о готовящихся нарушениях обязательных требований или признаках нарушений обязательных требований контролируемым лицам объявлялось пре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достережение и предлагалось принять меры по обеспечению соблюдения обязательных требований.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По состоянию на 01.04.2026 объявлено 1 предостережение о недопущении нарушения обязательных требований.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 3 месяца 2026 года должностными лицами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проведено 25 консультирований.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отношении объектов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контроля, </w:t>
      </w:r>
      <w:r>
        <w:rPr>
          <w:rFonts w:ascii="Times New Roman" w:hAnsi="Times New Roman" w:eastAsia="Times New Roman" w:cs="Times New Roman"/>
          <w:sz w:val="24"/>
        </w:rPr>
        <w:t xml:space="preserve">отнесенных</w:t>
      </w:r>
      <w:r>
        <w:rPr>
          <w:rFonts w:ascii="Times New Roman" w:hAnsi="Times New Roman" w:eastAsia="Times New Roman" w:cs="Times New Roman"/>
          <w:sz w:val="24"/>
        </w:rPr>
        <w:t xml:space="preserve"> к категории среднего риска, опасных производственных объектов IV класса опасности - не более одного обязательного профилактического визита в 5 </w:t>
      </w:r>
      <w:r>
        <w:rPr>
          <w:rFonts w:ascii="Times New Roman" w:hAnsi="Times New Roman" w:eastAsia="Times New Roman" w:cs="Times New Roman"/>
          <w:sz w:val="24"/>
        </w:rPr>
        <w:t xml:space="preserve">лет,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а также контролируемых лиц, пр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иступающих к осуществлению деятельности в сфере торгового мореплавания и внутреннего водного транспорта, подлежащей федеральному контролю,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Госморречнадзором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проводятся обязательные профилактические визиты.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ходе проведения профилактических визитов контро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утвержденным планом-графиком проводятся публичные обсуждения результатов правопри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менительной практики (по состоянию на 17.04.2026 проведено 1 мероприяти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ab/>
        <w:t xml:space="preserve">В 2026 году действует сервис «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Самообследование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», позволяющий контролируемым лицам самостоятельно оценить соблюдение обязательных требований при осуществлении деятельности, связанно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й с использованием судов морского или внутреннего водного транспорта, а также использовании судоходных и портовых гидротехнических сооружений.  Во вкладке «Личный кабинет проверяемого лица» на сайте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Ространснадзора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в сети Интернет реализована возможность д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обровольного определения контролируемыми лицами уровня соблюдения ими обязательных требований (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самообследование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) на водном транспорте. </w:t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  <w:t xml:space="preserve">Характеристика проблем, </w:t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SimSu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  <w:t xml:space="preserve">на решение которых направлена программа профилактики</w:t>
      </w:r>
      <w:r>
        <w:rPr>
          <w:rFonts w:ascii="Times New Roman" w:hAnsi="Times New Roman" w:eastAsia="SimSun" w:cs="Times New Roman"/>
          <w:i/>
          <w:sz w:val="24"/>
          <w:szCs w:val="24"/>
          <w:lang w:eastAsia="ru-RU"/>
        </w:rPr>
      </w:r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 сфере морского и внутреннего водного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ранспорта со стороны контролируемых лиц существуют риски нарушения обязательных требований, прямо или косвенно влияющие на вероятность наступления событий (аварий, транспортных происшествий), следствием которых могут являться гибель или причинения вреда зд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оровью людей, загрязнение окружающей среды, причинение материального ущерба.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Профилактические мероприятия, проводимые 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осуществлении федерального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государственного контроля (надзора) в области торгового мореплавания и внутреннего водного транспорта нап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равлены на предупреждение причин и условий, способствующих нарушению обязательных требований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безопасной эксплуатации судов, портовых гидротехнических сооружений и при осуществлении лицензируемых видов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Количество выявляемых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Госморре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чнадзором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службой капитана морских портов и ИГПК капитаном бассейна административных правонарушений свидетельствует о ненадлежащем исполнении обязанностей судоводителями и отсутствии должного контроля со стороны судовладельцев.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эксплуатации портовых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гидротехнических сооружений нарушение требований технических регламентов собственниками (эксплуатирующими организациями) обусловлено отсутствием квалифицированного персонала, а также недостаточным финансированием строительства, реконструкции и модернизации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гидротехнических сооружений, расположенных на внутренних водных путях, а также портовых ГТС.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Нарушения требований законодательства в области осуществления лицензируемых видов деятельности, обеспечивающих безопасную эксплуатацию транспортных средств и объектов инфраструктуры, допускаются лицензиатами в целях экономии средств.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II.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Цели и задачи программы профилактики нарушений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Достижение высокого уровня безопасности и иных качественных характеристик объектов контроля при одновременном снижении административной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нагрузки возможно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стимулирования контролируемых лиц самосто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ятельно поддерживать высокий уровень соответствия объектов контроля установленным обязательным требованиям.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Задачей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привлечение внимания как можно большего круга контролируемых лиц к появившейся возможности самостоятельно оценива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 уровень соблюдения обязательных требований на водном транспорте.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Необходимо также повышать качество профилактических визитов, при проведении которых инспекторы могут давать практические советы по недопущению нарушений на конкретном объекте контроля. 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кие мероприятия будут способствовать формированию позитивной репутации инспектора как высококлассного специалиста, главной задачей которого является недопущение причинения вреда (ущерба) охраняемым законом ценностям.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Целями профилактики рисков причинения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реда (ущерба) охраняемым законом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ценностям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сфере морского и внутреннего водного транспорта являются: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доведение до контролируемых лиц информации о способах соблюдения обязательных требований;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стимулирование добросовестного соблюдения обязательных тре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бований всеми контролируемыми лицами;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 предупреждение нарушений контролируемыми лицами обязательных требований.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Программой профилактики предусматривается решение следующих основных задач: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создание системы, обеспечивающей прозрачность, понятность содер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жания обязательных требований законодательства Российской Федерации, подлежащих соблюдению;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оптимизация работы по предупреждению и профилактике нарушений, совершаемых в сфере морского и внутреннего водного транспорта;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выявление причин, факторов и услов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ий, способствующих нарушению обязательных требований, определение способов устранения или снижения рисков их возникновения.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Перечень профилактических мероприятий на 2026 год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7"/>
        <w:numPr>
          <w:ilvl w:val="0"/>
          <w:numId w:val="1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Информирование.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Размещению и поддержанию в актуальном состоянии подлежит следующая информация: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а) тексты нормативных правовых актов, регулирующих осуществление федерального контроля;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б) сведения об изменениях, внесенных в нормативные правовые акты, регулирующие осуществл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ение федерального контроля, о сроках и порядке их вступления в силу;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в) перечень нормативных правовых актов с указан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г) утвержденные проверочные листы в формате, допускающем их использование для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самообследования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д) руководства по соблюдению обязательных требований, разработанные и утвержденные в соответствии с Федеральным </w:t>
      </w:r>
      <w:hyperlink r:id="rId11" w:tooltip="consultantplus://offline/ref=F62336641F993A7AF3B7462DFB0DBCA15CC8C8DDD049B5E434690DF996711E8DAD73DA081879269E0009F2C5F8z2U6M" w:history="1">
        <w:r>
          <w:rPr>
            <w:rFonts w:ascii="Times New Roman" w:hAnsi="Times New Roman" w:eastAsia="SimSun" w:cs="Times New Roman"/>
            <w:sz w:val="24"/>
            <w:szCs w:val="24"/>
            <w:lang w:eastAsia="ru-RU"/>
          </w:rPr>
          <w:t xml:space="preserve">законом</w:t>
        </w:r>
      </w:hyperlink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"Об обязательных требов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аниях в Российской Федерации";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е) перечень индикаторов риска нарушения обязательных требований, порядок отнесения объектов федерального контроля к категориям риска;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ж) перечень объектов федерального контроля, учитываемых в рамках формирования ежегодного п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лана контрольных (надзорных) мероприятий, с указанием категории риска;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з) программа профилактики рисков причинения вреда и план проведения плановых контрольных (надзорных) мероприятий;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и) исчерпывающий перечень сведений, которые могут запрашиваться контр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ольным (надзорным) органом у контролируемого лица;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к) 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л) сведения о применении мер стимулирования добросовестности контролируемых лиц;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м) сведения о порядке досудеб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ного обжалования решений контрольного (надзорного) органа, действий (бездействия) его должностных лиц;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н) доклады, содержащие результаты обобщения правоприменительной практики контрольного (надзорного) органа;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о) доклады о федеральном контроле;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п) инфор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мация о способах и процедуре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самообследования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(при наличии), в том числе методические рекомендации по проведению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самообследования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информация о декларациях соблюдения обязательных требований, пре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дставленных контролируемыми лицами.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 Обобщение правоприменительной практики осуществления федерального государственного контроля (надзора) в области торгового мореплавания и внутреннего водного транспорта.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 Объявление предостережения юридическим лицам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 индивидуальным предпринимателям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Территориальные подразделения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Госморречнадзора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обеспечивают учет объявленных предостережений о недопустимости нарушения лицензионных требований и используют соответствующ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4. Консультирование. Осуществляется по вопросам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осуществление контрольных (надзорных) мероприятий в рамках федерального контроля;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исполнение обязательных тре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бований, являющихся предметом федерального контроля;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 вопросам проведения профилактических мероприятий;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режима работы территориальных органов контрольного (надзорного) органа.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Обязательный профилактический визит проводится в отношении: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a)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б) для объектов контроля, отнесенных к категории среднего риска,</w:t>
      </w:r>
      <w:r>
        <w:rPr>
          <w:rFonts w:ascii="Times New Roman" w:hAnsi="Times New Roman" w:eastAsia="Times New Roman" w:cs="Times New Roman"/>
          <w:sz w:val="24"/>
        </w:rPr>
        <w:t xml:space="preserve"> опасных производственных объектов IV класса опасности - не более одного обязательного профилактического визита в 5 лет;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Меры стимулирования добросовестности.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Публичное обсуждение доклада о правоприменительной практике.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Самообследование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284480</wp:posOffset>
                </wp:positionV>
                <wp:extent cx="285750" cy="0"/>
                <wp:effectExtent l="0" t="76200" r="19050" b="114300"/>
                <wp:wrapNone/>
                <wp:docPr id="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111.60pt;mso-position-horizontal:absolute;mso-position-vertical-relative:text;margin-top:22.40pt;mso-position-vertical:absolute;width:22.50pt;height:0.00pt;mso-wrap-distance-left:9.00pt;mso-wrap-distance-top:0.00pt;mso-wrap-distance-right:9.00pt;mso-wrap-distance-bottom:0.00pt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95885</wp:posOffset>
                </wp:positionV>
                <wp:extent cx="209550" cy="0"/>
                <wp:effectExtent l="0" t="76200" r="1905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32" type="#_x0000_t32" style="position:absolute;z-index:251660288;o:allowoverlap:true;o:allowincell:true;mso-position-horizontal-relative:text;margin-left:359.95pt;mso-position-horizontal:absolute;mso-position-vertical-relative:text;margin-top:7.55pt;mso-position-vertical:absolute;width:16.50pt;height:0.00pt;mso-wrap-distance-left:9.00pt;mso-wrap-distance-top:0.00pt;mso-wrap-distance-right:9.00pt;mso-wrap-distance-bottom:0.00pt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83185</wp:posOffset>
                </wp:positionV>
                <wp:extent cx="241300" cy="0"/>
                <wp:effectExtent l="0" t="76200" r="25400" b="114300"/>
                <wp:wrapNone/>
                <wp:docPr id="4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32" type="#_x0000_t32" style="position:absolute;z-index:251659264;o:allowoverlap:true;o:allowincell:true;mso-position-horizontal-relative:text;margin-left:164.95pt;mso-position-horizontal:absolute;mso-position-vertical-relative:text;margin-top:6.55pt;mso-position-vertical:absolute;width:19.00pt;height:0.00pt;mso-wrap-distance-left:9.00pt;mso-wrap-distance-top:0.00pt;mso-wrap-distance-right:9.00pt;mso-wrap-distance-bottom:0.00pt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 xml:space="preserve">a</w:t>
      </w:r>
      <w:r>
        <w:rPr>
          <w:rFonts w:ascii="Times New Roman" w:hAnsi="Times New Roman" w:cs="Times New Roman"/>
        </w:rPr>
        <w:t xml:space="preserve">) Зайти на сайт </w:t>
      </w:r>
      <w:r>
        <w:rPr>
          <w:rFonts w:ascii="Times New Roman" w:hAnsi="Times New Roman" w:cs="Times New Roman"/>
        </w:rPr>
        <w:t xml:space="preserve">Ространснадзор</w:t>
      </w:r>
      <w:r>
        <w:rPr>
          <w:rFonts w:ascii="Times New Roman" w:hAnsi="Times New Roman" w:cs="Times New Roman"/>
        </w:rPr>
        <w:t xml:space="preserve">    Личный кабинет проверяемого </w:t>
      </w:r>
      <w:r>
        <w:rPr>
          <w:rFonts w:ascii="Times New Roman" w:hAnsi="Times New Roman" w:cs="Times New Roman"/>
        </w:rPr>
        <w:t xml:space="preserve">ли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ца  </w:t>
      </w:r>
      <w:r>
        <w:rPr>
          <w:rFonts w:ascii="Times New Roman" w:hAnsi="Times New Roman" w:cs="Times New Roman"/>
        </w:rPr>
        <w:t xml:space="preserve">Самообследование</w:t>
      </w:r>
      <w:r>
        <w:rPr>
          <w:rFonts w:ascii="Times New Roman" w:hAnsi="Times New Roman" w:cs="Times New Roman"/>
        </w:rPr>
        <w:t xml:space="preserve">             Выбор вида надзора              </w:t>
      </w:r>
      <w:r>
        <w:rPr>
          <w:rFonts w:ascii="Times New Roman" w:hAnsi="Times New Roman" w:cs="Times New Roman"/>
        </w:rPr>
        <w:t xml:space="preserve">Госморречнадзор</w:t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осуществляемый Вами вид деятельности или Вид объекта контроля: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перевозке пассажиров морским и внутренним водным транспортом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по перевозке опасных грузов морским и внутренним водным транспортом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Погрузочно-разгрузочная деятельность применительно к опасным грузам на внутреннем водном транспорте, в морских портах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по эксплуатации судоходных и портовых гидротехнических сооружений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Портовые гидротехнические сооружения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Контролируемое лицо, п</w:t>
      </w:r>
      <w:r>
        <w:rPr>
          <w:rFonts w:ascii="Times New Roman" w:hAnsi="Times New Roman" w:cs="Times New Roman"/>
          <w:sz w:val="24"/>
          <w:szCs w:val="24"/>
        </w:rPr>
        <w:t xml:space="preserve">олучившее высокую оценку соблюдения им обязательных требований по итогам </w:t>
      </w:r>
      <w:r>
        <w:rPr>
          <w:rFonts w:ascii="Times New Roman" w:hAnsi="Times New Roman" w:cs="Times New Roman"/>
          <w:sz w:val="24"/>
          <w:szCs w:val="24"/>
        </w:rPr>
        <w:t xml:space="preserve">самообследования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, вправе принять декларацию соблюдения обязательных требований (далее - декларация).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направляется контролируемым лицом в контрольный (надзорный) орган.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sz w:val="24"/>
          <w:szCs w:val="24"/>
        </w:rPr>
        <w:t xml:space="preserve">рольный (надзорный) орган регистрирует декларацию и размещает на своем официальном сайте в сети "Интернет" информацию о контролируемом лице, успешно прошедшем </w:t>
      </w:r>
      <w:r>
        <w:rPr>
          <w:rFonts w:ascii="Times New Roman" w:hAnsi="Times New Roman" w:cs="Times New Roman"/>
          <w:sz w:val="24"/>
          <w:szCs w:val="24"/>
        </w:rPr>
        <w:t xml:space="preserve">самообследование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и принявшем декларацию.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декларации составляет один календарный год</w:t>
      </w:r>
      <w:r>
        <w:rPr>
          <w:rFonts w:ascii="Times New Roman" w:hAnsi="Times New Roman" w:cs="Times New Roman"/>
          <w:sz w:val="24"/>
          <w:szCs w:val="24"/>
        </w:rPr>
        <w:t xml:space="preserve"> со дня регистрации контрольным (надзорным) органом декларации.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r>
        <w:rPr>
          <w:rFonts w:ascii="Times New Roman" w:hAnsi="Times New Roman" w:cs="Times New Roman"/>
          <w:sz w:val="24"/>
          <w:szCs w:val="24"/>
        </w:rPr>
        <w:t xml:space="preserve">самообследова</w:t>
      </w:r>
      <w:r>
        <w:rPr>
          <w:rFonts w:ascii="Times New Roman" w:hAnsi="Times New Roman" w:cs="Times New Roman"/>
          <w:sz w:val="24"/>
          <w:szCs w:val="24"/>
        </w:rPr>
        <w:t xml:space="preserve">нии</w:t>
      </w:r>
      <w:r>
        <w:rPr>
          <w:rFonts w:ascii="Times New Roman" w:hAnsi="Times New Roman" w:cs="Times New Roman"/>
          <w:sz w:val="24"/>
          <w:szCs w:val="24"/>
        </w:rPr>
        <w:t xml:space="preserve">, декларация аннулируется решением, принимаемым по результатам контрольного (надзорного) мероприятия.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сведений, содержащихся в декларации, уточненная декларация представляется контролируемым лицом в контрольный (надзорный) орган в теч</w:t>
      </w:r>
      <w:r>
        <w:rPr>
          <w:rFonts w:ascii="Times New Roman" w:hAnsi="Times New Roman" w:cs="Times New Roman"/>
          <w:sz w:val="24"/>
          <w:szCs w:val="24"/>
        </w:rPr>
        <w:t xml:space="preserve">ение одного месяца со дня изменения содержащихся в ней сведений.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аннулирования декларации контролируемое лицо может вновь принять декларацию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истечении одного года с даты ее аннулирования.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Мобильное приложение «Инспектор»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предназначено для пров</w:t>
      </w:r>
      <w:r>
        <w:rPr>
          <w:rFonts w:ascii="Times New Roman" w:hAnsi="Times New Roman" w:cs="Times New Roman"/>
          <w:sz w:val="24"/>
          <w:szCs w:val="24"/>
        </w:rPr>
        <w:t xml:space="preserve">едения оценки соответствия и контрольных (надзорных) мероприятий в дистанционном режиме (ВКС).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</w:t>
      </w:r>
      <w:r>
        <w:rPr>
          <w:rFonts w:ascii="Times New Roman" w:hAnsi="Times New Roman" w:cs="Times New Roman"/>
          <w:sz w:val="24"/>
          <w:szCs w:val="24"/>
        </w:rPr>
        <w:t xml:space="preserve">лица либо путем использования видео-конференц-связи или мобильного приложения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"Инспектор"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ходе профилактического визита инспектор информирует контролируемое лицо об обязательных требованиях, предъявляемых к его деятельности либо к принадлежащим ему объе</w:t>
      </w:r>
      <w:r>
        <w:rPr>
          <w:rFonts w:ascii="Times New Roman" w:hAnsi="Times New Roman" w:cs="Times New Roman"/>
          <w:sz w:val="24"/>
          <w:szCs w:val="24"/>
        </w:rPr>
        <w:t xml:space="preserve">ктам федерального контроля, их соответствии критериям риска, о рекомендуемых способах снижения категории риска, видах, содержании и интенсивности мероприятий, проводимых в отношении объекта федерального контроля исходя из его отнесения к соответствующей ка</w:t>
      </w:r>
      <w:r>
        <w:rPr>
          <w:rFonts w:ascii="Times New Roman" w:hAnsi="Times New Roman" w:cs="Times New Roman"/>
          <w:sz w:val="24"/>
          <w:szCs w:val="24"/>
        </w:rPr>
        <w:t xml:space="preserve">тегории риска, а также осуществляет ознакомление с объектом федерального контроля, сбор сведений, необходимых для отнесения объекта федерального контроля к категории риска, и проводит оценку уровня соблюдения контролируемым лицом обязательных требований.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Обязательный профилактический визит проводится в порядке, предусмотренном статьей 52 Федерального закона.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посредством видео-конференц-связи, а также с использованием мобильного приложения "Инспектор".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осуществлении осмотра в рамках обязательного профилактического визита фотосъемка или видеозапись осуществляется с использованием мобильного приложени</w:t>
      </w:r>
      <w:r>
        <w:rPr>
          <w:rFonts w:ascii="Times New Roman" w:hAnsi="Times New Roman" w:cs="Times New Roman"/>
          <w:sz w:val="24"/>
          <w:szCs w:val="24"/>
        </w:rPr>
        <w:t xml:space="preserve">я "Инспектор"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Times New Roman">
    <w:panose1 w:val="020206030504050203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1931208"/>
      <w:docPartObj>
        <w:docPartGallery w:val="Page Numbers (Bottom of Page)"/>
        <w:docPartUnique w:val="true"/>
      </w:docPartObj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02"/>
    <w:uiPriority w:val="10"/>
    <w:rPr>
      <w:sz w:val="48"/>
      <w:szCs w:val="48"/>
    </w:rPr>
  </w:style>
  <w:style w:type="character" w:styleId="37">
    <w:name w:val="Subtitle Char"/>
    <w:basedOn w:val="689"/>
    <w:link w:val="704"/>
    <w:uiPriority w:val="11"/>
    <w:rPr>
      <w:sz w:val="24"/>
      <w:szCs w:val="24"/>
    </w:rPr>
  </w:style>
  <w:style w:type="character" w:styleId="39">
    <w:name w:val="Quote Char"/>
    <w:link w:val="706"/>
    <w:uiPriority w:val="29"/>
    <w:rPr>
      <w:i/>
    </w:rPr>
  </w:style>
  <w:style w:type="character" w:styleId="41">
    <w:name w:val="Intense Quote Char"/>
    <w:link w:val="708"/>
    <w:uiPriority w:val="30"/>
    <w:rPr>
      <w:i/>
    </w:rPr>
  </w:style>
  <w:style w:type="character" w:styleId="47">
    <w:name w:val="Caption Char"/>
    <w:basedOn w:val="689"/>
    <w:link w:val="712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40"/>
    <w:uiPriority w:val="99"/>
    <w:rPr>
      <w:sz w:val="18"/>
    </w:rPr>
  </w:style>
  <w:style w:type="character" w:styleId="179">
    <w:name w:val="Endnote Text Char"/>
    <w:link w:val="843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79"/>
    <w:next w:val="679"/>
    <w:link w:val="703"/>
    <w:uiPriority w:val="10"/>
    <w:qFormat/>
    <w:pPr>
      <w:contextualSpacing/>
      <w:spacing w:before="300"/>
    </w:pPr>
    <w:rPr>
      <w:sz w:val="48"/>
      <w:szCs w:val="48"/>
    </w:rPr>
  </w:style>
  <w:style w:type="character" w:styleId="703" w:customStyle="1">
    <w:name w:val="Название Знак"/>
    <w:basedOn w:val="689"/>
    <w:link w:val="702"/>
    <w:uiPriority w:val="10"/>
    <w:rPr>
      <w:sz w:val="48"/>
      <w:szCs w:val="48"/>
    </w:rPr>
  </w:style>
  <w:style w:type="paragraph" w:styleId="704">
    <w:name w:val="Subtitle"/>
    <w:basedOn w:val="679"/>
    <w:next w:val="679"/>
    <w:link w:val="705"/>
    <w:uiPriority w:val="11"/>
    <w:qFormat/>
    <w:pPr>
      <w:spacing w:before="200"/>
    </w:pPr>
    <w:rPr>
      <w:sz w:val="24"/>
      <w:szCs w:val="24"/>
    </w:rPr>
  </w:style>
  <w:style w:type="character" w:styleId="705" w:customStyle="1">
    <w:name w:val="Подзаголовок Знак"/>
    <w:basedOn w:val="689"/>
    <w:link w:val="704"/>
    <w:uiPriority w:val="11"/>
    <w:rPr>
      <w:sz w:val="24"/>
      <w:szCs w:val="24"/>
    </w:rPr>
  </w:style>
  <w:style w:type="paragraph" w:styleId="706">
    <w:name w:val="Quote"/>
    <w:basedOn w:val="679"/>
    <w:next w:val="679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9"/>
    <w:next w:val="679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character" w:styleId="710" w:customStyle="1">
    <w:name w:val="Header Char"/>
    <w:basedOn w:val="689"/>
    <w:uiPriority w:val="99"/>
  </w:style>
  <w:style w:type="character" w:styleId="711" w:customStyle="1">
    <w:name w:val="Footer Char"/>
    <w:basedOn w:val="689"/>
    <w:uiPriority w:val="99"/>
  </w:style>
  <w:style w:type="paragraph" w:styleId="712">
    <w:name w:val="Caption"/>
    <w:basedOn w:val="679"/>
    <w:next w:val="679"/>
    <w:link w:val="71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3" w:customStyle="1">
    <w:name w:val="Название объекта Знак"/>
    <w:basedOn w:val="689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0">
    <w:name w:val="footnote text"/>
    <w:basedOn w:val="679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9"/>
    <w:uiPriority w:val="99"/>
    <w:unhideWhenUsed/>
    <w:rPr>
      <w:vertAlign w:val="superscript"/>
    </w:rPr>
  </w:style>
  <w:style w:type="paragraph" w:styleId="843">
    <w:name w:val="endnote text"/>
    <w:basedOn w:val="679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9"/>
    <w:uiPriority w:val="99"/>
    <w:semiHidden/>
    <w:unhideWhenUsed/>
    <w:rPr>
      <w:vertAlign w:val="superscript"/>
    </w:rPr>
  </w:style>
  <w:style w:type="paragraph" w:styleId="846">
    <w:name w:val="toc 1"/>
    <w:basedOn w:val="679"/>
    <w:next w:val="679"/>
    <w:uiPriority w:val="39"/>
    <w:unhideWhenUsed/>
    <w:pPr>
      <w:spacing w:after="57"/>
    </w:pPr>
  </w:style>
  <w:style w:type="paragraph" w:styleId="847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48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49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0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1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2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3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4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9"/>
    <w:next w:val="679"/>
    <w:uiPriority w:val="99"/>
    <w:unhideWhenUsed/>
    <w:pPr>
      <w:spacing w:after="0"/>
    </w:pPr>
  </w:style>
  <w:style w:type="paragraph" w:styleId="857">
    <w:name w:val="List Paragraph"/>
    <w:basedOn w:val="679"/>
    <w:uiPriority w:val="34"/>
    <w:qFormat/>
    <w:pPr>
      <w:contextualSpacing/>
      <w:ind w:left="720"/>
    </w:pPr>
  </w:style>
  <w:style w:type="character" w:styleId="858">
    <w:name w:val="Hyperlink"/>
    <w:basedOn w:val="689"/>
    <w:uiPriority w:val="99"/>
    <w:unhideWhenUsed/>
    <w:rPr>
      <w:color w:val="0000ff" w:themeColor="hyperlink"/>
      <w:u w:val="single"/>
    </w:rPr>
  </w:style>
  <w:style w:type="paragraph" w:styleId="859">
    <w:name w:val="Balloon Text"/>
    <w:basedOn w:val="679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89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Header"/>
    <w:basedOn w:val="679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89"/>
    <w:link w:val="861"/>
    <w:uiPriority w:val="99"/>
  </w:style>
  <w:style w:type="paragraph" w:styleId="863">
    <w:name w:val="Footer"/>
    <w:basedOn w:val="679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89"/>
    <w:link w:val="863"/>
    <w:uiPriority w:val="99"/>
  </w:style>
  <w:style w:type="paragraph" w:styleId="865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F62336641F993A7AF3B7462DFB0DBCA15CC8C8DDD049B5E434690DF996711E8DAD73DA081879269E0009F2C5F8z2U6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Harsekina_OV</cp:lastModifiedBy>
  <cp:revision>7</cp:revision>
  <dcterms:created xsi:type="dcterms:W3CDTF">2025-09-23T07:39:00Z</dcterms:created>
  <dcterms:modified xsi:type="dcterms:W3CDTF">2026-04-21T04:28:57Z</dcterms:modified>
</cp:coreProperties>
</file>